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EC4F48" w:rsidP="00EF0D91">
      <w:pPr>
        <w:spacing w:after="0" w:line="240" w:lineRule="auto"/>
        <w:jc w:val="right"/>
      </w:pPr>
      <w:r>
        <w:t>Załącznik Nr 13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EC4F48">
        <w:rPr>
          <w:b/>
        </w:rPr>
        <w:t>Szcześniki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596FA4">
        <w:t>Szcześniki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EC4F48">
        <w:t>Szcześniki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EC4F48">
        <w:t>Szcześniki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EC4F48">
        <w:t>Szcześniki,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EC4F48">
        <w:t>Szcześniki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BB66EC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BB66EC">
        <w:t xml:space="preserve">Liczbę </w:t>
      </w:r>
      <w:r w:rsidRPr="00B26B94">
        <w:t>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BB66EC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BB66EC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BB66EC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BB66EC" w:rsidP="001F5720">
      <w:pPr>
        <w:spacing w:after="0"/>
        <w:ind w:left="993"/>
        <w:jc w:val="both"/>
      </w:pPr>
      <w:r>
        <w:t>2) reprezentowania</w:t>
      </w:r>
      <w:r w:rsidR="00CA7846"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BB66EC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BB66EC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BB66EC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</w:t>
      </w:r>
      <w:r w:rsidR="00BB66EC">
        <w:t>teczkę, pieczęć, 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BB66EC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który uzyskał największ</w:t>
      </w:r>
      <w:r w:rsidR="00BB66EC">
        <w:t>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BB66EC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BB66EC">
        <w:t>wydatkowanych</w:t>
      </w:r>
      <w:r w:rsidRPr="00FA3329">
        <w:t xml:space="preserve"> w ramach funduszu sołeckiego mogą być przeznaczone wyłącznie na realizację przedsięwzięć stan</w:t>
      </w:r>
      <w:r w:rsidR="00BB66EC">
        <w:t>owiących zadania własne gminy, 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BB66EC">
        <w:t xml:space="preserve">Sołectwa </w:t>
      </w:r>
      <w:r w:rsidRPr="00FA3329">
        <w:t>oraz dostępu do urządzeń i mienia</w:t>
      </w:r>
      <w:r w:rsidR="00FA3329">
        <w:t xml:space="preserve"> będącego </w:t>
      </w:r>
      <w:r w:rsidR="00BB66EC">
        <w:t>w jego władaniu</w:t>
      </w:r>
      <w:r w:rsidR="00FA3329">
        <w:t>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425E09"/>
    <w:rsid w:val="005076E1"/>
    <w:rsid w:val="00590DB6"/>
    <w:rsid w:val="00596FA4"/>
    <w:rsid w:val="005B0D19"/>
    <w:rsid w:val="005C188E"/>
    <w:rsid w:val="00701C36"/>
    <w:rsid w:val="007458B7"/>
    <w:rsid w:val="00793261"/>
    <w:rsid w:val="007D154B"/>
    <w:rsid w:val="008D5823"/>
    <w:rsid w:val="008D657B"/>
    <w:rsid w:val="00946D6D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BB66EC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C4F48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2018-12-04T07:13:00Z</dcterms:modified>
</cp:coreProperties>
</file>